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rPr>
      </w:pPr>
      <w:bookmarkStart w:id="0" w:name="_GoBack"/>
      <w:bookmarkEnd w:id="0"/>
      <w:r>
        <w:rPr>
          <w:rFonts w:hint="eastAsia" w:asciiTheme="majorEastAsia" w:hAnsiTheme="majorEastAsia" w:eastAsiaTheme="majorEastAsia" w:cstheme="majorEastAsia"/>
          <w:b/>
          <w:bCs/>
          <w:sz w:val="44"/>
          <w:szCs w:val="44"/>
          <w:lang w:val="en-US" w:eastAsia="zh-CN"/>
        </w:rPr>
        <w:t>4.历史文化街区、名镇、名村核心保护范围内拆除历史建筑以外的建筑物、构筑物或者其他设施审批事中事后监管细则</w:t>
      </w:r>
    </w:p>
    <w:p>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为深入推进简政放权、放管结合、优化服务，加</w:t>
      </w:r>
      <w:r>
        <w:rPr>
          <w:rFonts w:hint="eastAsia" w:ascii="仿宋" w:hAnsi="仿宋" w:eastAsia="仿宋" w:cs="仿宋"/>
          <w:sz w:val="32"/>
          <w:szCs w:val="32"/>
          <w:lang w:val="zh-CN" w:eastAsia="zh-CN"/>
        </w:rPr>
        <w:t>强</w:t>
      </w:r>
      <w:r>
        <w:rPr>
          <w:rFonts w:hint="eastAsia" w:ascii="仿宋" w:hAnsi="仿宋" w:eastAsia="仿宋" w:cs="仿宋"/>
          <w:sz w:val="32"/>
          <w:szCs w:val="32"/>
          <w:lang w:val="en-US" w:eastAsia="zh-CN"/>
        </w:rPr>
        <w:t>历史文化街区、名镇、名村核心保护范围内拆除历史建筑以外的建筑物、构筑物或者其他设施</w:t>
      </w:r>
      <w:r>
        <w:rPr>
          <w:rFonts w:hint="eastAsia" w:ascii="仿宋" w:hAnsi="仿宋" w:eastAsia="仿宋" w:cs="仿宋"/>
          <w:sz w:val="32"/>
          <w:szCs w:val="32"/>
          <w:lang w:val="zh-CN" w:eastAsia="zh-CN"/>
        </w:rPr>
        <w:t>事中事后监管工作，规范行政行为，根据相关法律</w:t>
      </w:r>
      <w:r>
        <w:rPr>
          <w:rFonts w:hint="eastAsia" w:ascii="仿宋" w:hAnsi="仿宋" w:eastAsia="仿宋" w:cs="仿宋"/>
          <w:sz w:val="32"/>
          <w:szCs w:val="32"/>
          <w:lang w:val="zh-CN"/>
        </w:rPr>
        <w:t>法规和《安徽省住房和城乡建设厅行政权力运行监管细则》，结合</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lang w:val="zh-CN"/>
        </w:rPr>
        <w:t>工作实际，制定本监管细则。</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县住房和城乡建设局（县历史文化名城保护中心）</w:t>
      </w:r>
      <w:r>
        <w:rPr>
          <w:rFonts w:hint="eastAsia" w:ascii="仿宋" w:hAnsi="仿宋" w:eastAsia="仿宋"/>
          <w:sz w:val="32"/>
          <w:szCs w:val="32"/>
          <w:lang w:eastAsia="zh-CN"/>
        </w:rPr>
        <w:t>权责清单</w:t>
      </w:r>
      <w:r>
        <w:rPr>
          <w:rFonts w:hint="eastAsia" w:ascii="仿宋" w:hAnsi="仿宋" w:eastAsia="仿宋" w:cs="仿宋"/>
          <w:sz w:val="32"/>
          <w:szCs w:val="32"/>
          <w:lang w:val="zh-CN"/>
        </w:rPr>
        <w:t>第</w:t>
      </w:r>
      <w:r>
        <w:rPr>
          <w:rFonts w:hint="eastAsia" w:ascii="仿宋" w:hAnsi="仿宋" w:eastAsia="仿宋" w:cs="仿宋"/>
          <w:sz w:val="32"/>
          <w:szCs w:val="32"/>
          <w:lang w:val="en-US" w:eastAsia="zh-CN"/>
        </w:rPr>
        <w:t>4</w:t>
      </w:r>
      <w:r>
        <w:rPr>
          <w:rFonts w:hint="eastAsia" w:ascii="仿宋" w:hAnsi="仿宋" w:eastAsia="仿宋" w:cs="仿宋"/>
          <w:sz w:val="32"/>
          <w:szCs w:val="32"/>
          <w:lang w:val="zh-CN"/>
        </w:rPr>
        <w:t>项，权力类型：行政许可，权利名称：</w:t>
      </w:r>
      <w:r>
        <w:rPr>
          <w:rFonts w:hint="eastAsia" w:ascii="仿宋" w:hAnsi="仿宋" w:eastAsia="仿宋" w:cs="仿宋"/>
          <w:sz w:val="32"/>
          <w:szCs w:val="32"/>
          <w:lang w:val="en-US" w:eastAsia="zh-CN"/>
        </w:rPr>
        <w:t>历史文化街区、名镇、名村核心保护范围内拆除历史建筑以外的建筑物、构筑物或者其他设施审批</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一、基本原则</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二、事中监管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（一）资料审查</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申报</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许可证需要提供材料包括:</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（1）历史文化街区、名镇、名村核心保护范围内，拆除历史建筑以外的建筑物、构筑物或者其他设施的书面申请；</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（2）授权委托书、委托身份证明；</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eastAsia="zh-CN"/>
        </w:rPr>
      </w:pPr>
      <w:r>
        <w:rPr>
          <w:rFonts w:hint="eastAsia" w:ascii="仿宋" w:hAnsi="仿宋" w:eastAsia="仿宋" w:cs="仿宋"/>
          <w:sz w:val="32"/>
          <w:szCs w:val="32"/>
        </w:rPr>
        <w:t>（3）拟被拆除对象及其周边环境的现状测绘平面图</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拟被拆除对象的物权证明：《土地使用权证》及其附图、《建设用地规划许可证》及其附图、《房产证》及其附图</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相应资质的单位编制的拆除历史建筑以外的建筑物的方案及论证报告</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（二）审查监管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对申请材料不齐全或不符合法定形式的，不予受理，一次性告知补正材料；对申请材料齐全、符合法定形式，或者申请人按照要求提交全部补正申请材料的，予以受理。</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（三）现场勘查</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对申请</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项目,</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组织现场实地勘察,并提出现场勘查审核意见。</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（四）审核监管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对申请材料组织审核，根据需要征求部门意见，形成初步审查意见。</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（五）结果反馈</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根据初步审查意见，符合许可条件的，及时办理；不符合条件的，规定时间内予以说明。</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（六）对行政权力行使人的监管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必须严格按照规定执行权力运行流程图、行政审批材料规范。加强内部监管，接受投诉举报，发现违规行为，及时依法予以纠正查处。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三、事后监管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（一）建立监管台账档案</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将</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许可初审材料进行整理归档，建立日常监管的动态化管理。</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（二）监督检查</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加大对</w:t>
      </w:r>
      <w:r>
        <w:rPr>
          <w:rFonts w:hint="eastAsia" w:ascii="仿宋" w:hAnsi="仿宋" w:eastAsia="仿宋" w:cs="仿宋"/>
          <w:sz w:val="32"/>
          <w:szCs w:val="32"/>
          <w:lang w:eastAsia="zh-CN"/>
        </w:rPr>
        <w:t>辖区</w:t>
      </w:r>
      <w:r>
        <w:rPr>
          <w:rFonts w:hint="eastAsia" w:ascii="仿宋" w:hAnsi="仿宋" w:eastAsia="仿宋" w:cs="仿宋"/>
          <w:sz w:val="32"/>
          <w:szCs w:val="32"/>
        </w:rPr>
        <w:t>范围内</w:t>
      </w:r>
      <w:r>
        <w:rPr>
          <w:rFonts w:hint="eastAsia" w:ascii="仿宋" w:hAnsi="仿宋" w:eastAsia="仿宋" w:cs="仿宋"/>
          <w:sz w:val="32"/>
          <w:szCs w:val="32"/>
          <w:lang w:val="zh-CN"/>
        </w:rPr>
        <w:t>历史建筑</w:t>
      </w:r>
      <w:r>
        <w:rPr>
          <w:rFonts w:hint="eastAsia" w:ascii="仿宋" w:hAnsi="仿宋" w:eastAsia="仿宋" w:cs="仿宋"/>
          <w:sz w:val="32"/>
          <w:szCs w:val="32"/>
        </w:rPr>
        <w:t>的巡查力度，</w:t>
      </w:r>
      <w:r>
        <w:rPr>
          <w:rFonts w:hint="eastAsia" w:ascii="仿宋" w:hAnsi="仿宋" w:eastAsia="仿宋" w:cs="仿宋"/>
          <w:kern w:val="0"/>
          <w:sz w:val="32"/>
          <w:szCs w:val="32"/>
          <w:lang w:val="zh-CN"/>
        </w:rPr>
        <w:t>及时制止违规的行为，并将违法行为函告相关执法单位进行查处，限期整改</w:t>
      </w:r>
      <w:r>
        <w:rPr>
          <w:rFonts w:hint="eastAsia" w:ascii="仿宋" w:hAnsi="仿宋" w:eastAsia="仿宋" w:cs="仿宋"/>
          <w:sz w:val="32"/>
          <w:szCs w:val="32"/>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（三）社会公开</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任何单位和个人发现在</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lang w:val="zh-CN"/>
        </w:rPr>
        <w:t>时存在违法行为，有权向</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举报，</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应当及时核实、处理，并将处理结果及时反馈给举报人。举报地址：祁门县住建局，举报电话：0559-</w:t>
      </w:r>
      <w:r>
        <w:rPr>
          <w:rFonts w:hint="eastAsia" w:ascii="仿宋" w:hAnsi="仿宋" w:eastAsia="仿宋" w:cs="仿宋"/>
          <w:sz w:val="32"/>
          <w:szCs w:val="32"/>
          <w:lang w:val="en-US" w:eastAsia="zh-CN"/>
        </w:rPr>
        <w:t>4512068</w:t>
      </w:r>
      <w:r>
        <w:rPr>
          <w:rFonts w:hint="eastAsia" w:ascii="仿宋" w:hAnsi="仿宋" w:eastAsia="仿宋" w:cs="仿宋"/>
          <w:sz w:val="32"/>
          <w:szCs w:val="32"/>
          <w:lang w:val="zh-CN"/>
        </w:rPr>
        <w:t>。</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四、责任追究</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在许可证核发工作中，有下列情形的，</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及相关工作人员应承担相应责任：</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1.对符合法定条件的申请不予受理、许可的；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2.对不符合有关法律法规及相关文件要求的项目而予以核准的；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3.擅自增设、变更审批程序或条件的；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4.擅自变更、延续、撤销已审批项目的；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5.对审批过程中滥用职权、玩忽职守,造成较大损失的；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6.收受贿赂，获取其他利益，或者为他人谋取不正当利益提供方便的；</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7.其他违反法律法规政策规定的行为。</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五、保障措施</w:t>
      </w:r>
    </w:p>
    <w:p>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（一）高度重视</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的事中事后监管工作，彻底解决“重审批轻监管”的问题。强化组织领导，落实保障措施，严格追责，确保事中事后监管工作有序推进。</w:t>
      </w:r>
    </w:p>
    <w:p>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（二）切实加强对行政机关及相关工作人员的法律、法规、标准和专业知识等培训，不具备相应知识和能力的，不得从审查工作。</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rPr>
        <w:t>（三）运用多种方式加强</w:t>
      </w:r>
      <w:r>
        <w:rPr>
          <w:rFonts w:hint="eastAsia" w:ascii="仿宋" w:hAnsi="仿宋" w:eastAsia="仿宋" w:cs="仿宋"/>
          <w:sz w:val="32"/>
          <w:szCs w:val="32"/>
          <w:lang w:val="zh-CN"/>
        </w:rPr>
        <w:t>相关法律法规的宣传力度，提升管理相对人和公众的法律意识。</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六、主要依据</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《历史文化名城名镇名村保护条例》(国务院第524号令）第二十八条</w:t>
      </w:r>
    </w:p>
    <w:p>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p>
    <w:p>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04BA4A16"/>
    <w:rsid w:val="04BA4A16"/>
    <w:rsid w:val="196C0D88"/>
    <w:rsid w:val="2B751AA8"/>
    <w:rsid w:val="2D956BB1"/>
    <w:rsid w:val="446527B4"/>
    <w:rsid w:val="4D2B2D3F"/>
    <w:rsid w:val="514C5E5E"/>
    <w:rsid w:val="5B677AAC"/>
    <w:rsid w:val="6599183C"/>
    <w:rsid w:val="71053511"/>
    <w:rsid w:val="78600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2024-01-17T08:15:00Z</dcterms:created>
  <dc:creator>沉默的小布芬</dc:creator>
  <cp:lastModifiedBy>沉默的小布芬</cp:lastModifiedBy>
  <dcterms:modified xsi:type="dcterms:W3CDTF">2024-02-28T07:54:42Z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C91F128F84E247F4AA5D987C10271719_11</vt:lpwstr>
  </property>
</Properties>
</file>